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7C" w:rsidRPr="00557497" w:rsidRDefault="007F34AC" w:rsidP="00557497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roundrect id="_x0000_s1026" style="position:absolute;left:0;text-align:left;margin-left:158.7pt;margin-top:61.95pt;width:311.25pt;height:117.4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0B0A7C" w:rsidRDefault="000B0A7C" w:rsidP="000B0A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повышение эффективности управления муниципальным долгом </w:t>
                  </w: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</w:rPr>
                    <w:t>муниципального образования «Город Саратов»</w:t>
                  </w: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и уровня автоматизации бюджетного проце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сса в муниципальном образовании</w:t>
                  </w:r>
                </w:p>
                <w:p w:rsidR="000B0A7C" w:rsidRPr="002A27EA" w:rsidRDefault="000B0A7C" w:rsidP="000B0A7C">
                  <w:pPr>
                    <w:spacing w:after="0" w:line="240" w:lineRule="auto"/>
                    <w:jc w:val="center"/>
                    <w:rPr>
                      <w:b/>
                      <w:color w:val="FFFFFF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«Город Саратов»</w:t>
                  </w:r>
                </w:p>
              </w:txbxContent>
            </v:textbox>
          </v:roundrect>
        </w:pict>
      </w:r>
      <w:r w:rsidR="000B0A7C" w:rsidRPr="00557497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="000B0A7C" w:rsidRPr="00557497">
        <w:rPr>
          <w:rFonts w:ascii="Times New Roman" w:hAnsi="Times New Roman"/>
          <w:b/>
          <w:sz w:val="32"/>
          <w:szCs w:val="32"/>
        </w:rPr>
        <w:br/>
        <w:t>«Управление муниципальными финансами муниципального образования «Город Саратов»</w:t>
      </w:r>
    </w:p>
    <w:p w:rsidR="000B0A7C" w:rsidRPr="00704767" w:rsidRDefault="007F34AC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2.35pt;margin-top:23.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0B0A7C" w:rsidRPr="002B3586" w:rsidRDefault="000B0A7C" w:rsidP="000B0A7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0B0A7C" w:rsidRPr="00704767" w:rsidRDefault="000B0A7C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0B0A7C">
      <w:pPr>
        <w:tabs>
          <w:tab w:val="left" w:pos="855"/>
          <w:tab w:val="left" w:pos="1127"/>
        </w:tabs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ab/>
      </w:r>
      <w:r w:rsidRPr="00704767">
        <w:rPr>
          <w:rFonts w:ascii="Times New Roman" w:hAnsi="Times New Roman"/>
          <w:b/>
          <w:sz w:val="28"/>
          <w:szCs w:val="28"/>
        </w:rPr>
        <w:tab/>
      </w:r>
    </w:p>
    <w:p w:rsidR="000B0A7C" w:rsidRPr="00704767" w:rsidRDefault="000B0A7C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0B0A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557497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/>
      </w:tblPr>
      <w:tblGrid>
        <w:gridCol w:w="3269"/>
        <w:gridCol w:w="1353"/>
        <w:gridCol w:w="1350"/>
        <w:gridCol w:w="1350"/>
        <w:gridCol w:w="1352"/>
        <w:gridCol w:w="1464"/>
      </w:tblGrid>
      <w:tr w:rsidR="000B0A7C" w:rsidRPr="00704767" w:rsidTr="00557497">
        <w:tc>
          <w:tcPr>
            <w:tcW w:w="1612" w:type="pct"/>
            <w:vMerge w:val="restar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67" w:type="pct"/>
            <w:vMerge w:val="restart"/>
            <w:shd w:val="clear" w:color="auto" w:fill="FBD4B4" w:themeFill="accent6" w:themeFillTint="66"/>
          </w:tcPr>
          <w:p w:rsidR="000B0A7C" w:rsidRPr="00704767" w:rsidRDefault="000B0A7C" w:rsidP="00D0738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2018 год (отчет)</w:t>
            </w:r>
          </w:p>
        </w:tc>
        <w:tc>
          <w:tcPr>
            <w:tcW w:w="666" w:type="pct"/>
            <w:vMerge w:val="restar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2055" w:type="pct"/>
            <w:gridSpan w:val="3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0B0A7C" w:rsidRPr="00704767" w:rsidTr="00557497">
        <w:tc>
          <w:tcPr>
            <w:tcW w:w="1612" w:type="pct"/>
            <w:vMerge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FDE9D9" w:themeFill="accent6" w:themeFillTint="33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6" w:type="pct"/>
            <w:vMerge/>
            <w:shd w:val="clear" w:color="auto" w:fill="FDE9D9" w:themeFill="accent6" w:themeFillTint="33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2020 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667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722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0B0A7C" w:rsidRPr="00704767" w:rsidTr="00557497">
        <w:trPr>
          <w:trHeight w:val="499"/>
        </w:trPr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528 657,3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E16">
              <w:rPr>
                <w:rFonts w:ascii="Times New Roman" w:hAnsi="Times New Roman"/>
                <w:sz w:val="24"/>
                <w:szCs w:val="24"/>
              </w:rPr>
              <w:t>584 000,0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600 000,0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600 000,0</w:t>
            </w:r>
          </w:p>
        </w:tc>
        <w:tc>
          <w:tcPr>
            <w:tcW w:w="722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ind w:left="116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600 000,0</w:t>
            </w:r>
          </w:p>
        </w:tc>
      </w:tr>
      <w:tr w:rsidR="000B0A7C" w:rsidRPr="00704767" w:rsidTr="00557497">
        <w:trPr>
          <w:trHeight w:val="728"/>
        </w:trPr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pStyle w:val="ConsPlusNormal"/>
              <w:ind w:left="35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Автоматизация систем управления бюджетным процессом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10 466,5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E16">
              <w:rPr>
                <w:rFonts w:ascii="Times New Roman" w:hAnsi="Times New Roman"/>
                <w:sz w:val="24"/>
                <w:szCs w:val="24"/>
              </w:rPr>
              <w:t>14 324,7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jc w:val="center"/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  <w:tc>
          <w:tcPr>
            <w:tcW w:w="722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jc w:val="center"/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</w:tr>
      <w:tr w:rsidR="000B0A7C" w:rsidRPr="00704767" w:rsidTr="00557497"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667" w:type="pct"/>
            <w:shd w:val="clear" w:color="auto" w:fill="FDE9D9" w:themeFill="accent6" w:themeFillTint="33"/>
            <w:vAlign w:val="center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539 123,8</w:t>
            </w:r>
          </w:p>
        </w:tc>
        <w:tc>
          <w:tcPr>
            <w:tcW w:w="666" w:type="pct"/>
            <w:shd w:val="clear" w:color="auto" w:fill="FDE9D9" w:themeFill="accent6" w:themeFillTint="33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24E16">
              <w:rPr>
                <w:rFonts w:ascii="Times New Roman" w:hAnsi="Times New Roman"/>
                <w:b/>
                <w:sz w:val="24"/>
                <w:szCs w:val="24"/>
              </w:rPr>
              <w:t>598 324,7</w:t>
            </w:r>
          </w:p>
        </w:tc>
        <w:tc>
          <w:tcPr>
            <w:tcW w:w="666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614 324,7</w:t>
            </w:r>
          </w:p>
        </w:tc>
        <w:tc>
          <w:tcPr>
            <w:tcW w:w="667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614 324,7</w:t>
            </w:r>
          </w:p>
        </w:tc>
        <w:tc>
          <w:tcPr>
            <w:tcW w:w="72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614 324,7</w:t>
            </w:r>
          </w:p>
        </w:tc>
      </w:tr>
    </w:tbl>
    <w:p w:rsidR="000B0A7C" w:rsidRPr="00704767" w:rsidRDefault="007F34AC" w:rsidP="000B0A7C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7F34AC">
        <w:rPr>
          <w:rFonts w:ascii="Times New Roman" w:eastAsia="Calibri" w:hAnsi="Times New Roman"/>
          <w:b/>
          <w:noProof/>
          <w:sz w:val="28"/>
          <w:szCs w:val="28"/>
          <w:lang w:eastAsia="en-US"/>
        </w:rPr>
        <w:pict>
          <v:roundrect id="_x0000_s1028" style="position:absolute;left:0;text-align:left;margin-left:-2.45pt;margin-top:7.3pt;width:500.25pt;height:148.7pt;z-index:251662336;mso-position-horizontal-relative:text;mso-position-vertical-relative:text" arcsize="10923f" filled="f" strokecolor="blue" strokeweight="1.75pt"/>
        </w:pict>
      </w:r>
    </w:p>
    <w:p w:rsidR="000B0A7C" w:rsidRPr="00704767" w:rsidRDefault="000B0A7C" w:rsidP="00EA21B9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04767">
        <w:rPr>
          <w:rFonts w:ascii="Times New Roman" w:eastAsia="Times New Roman" w:hAnsi="Times New Roman"/>
          <w:b/>
          <w:sz w:val="28"/>
          <w:szCs w:val="28"/>
        </w:rPr>
        <w:t>Прогноз конечных резу</w:t>
      </w:r>
      <w:r w:rsidR="00EA21B9">
        <w:rPr>
          <w:rFonts w:ascii="Times New Roman" w:eastAsia="Times New Roman" w:hAnsi="Times New Roman"/>
          <w:b/>
          <w:sz w:val="28"/>
          <w:szCs w:val="28"/>
        </w:rPr>
        <w:t>льтатов муниципальной программы:</w:t>
      </w:r>
    </w:p>
    <w:p w:rsidR="000B0A7C" w:rsidRPr="00704767" w:rsidRDefault="000B0A7C" w:rsidP="00EA21B9">
      <w:pPr>
        <w:spacing w:after="0" w:line="240" w:lineRule="auto"/>
        <w:ind w:left="142" w:right="141"/>
        <w:jc w:val="both"/>
        <w:rPr>
          <w:rFonts w:ascii="Times New Roman" w:eastAsia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сохранение экономически обоснованного объема, структуры муниципального долга и снижение расходов на его обслуживание;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модернизация существующей технической и программной инфраструктуры автоматизации бюджетного процесса;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повышение оперативности формирования информации, необходимой для управления бюджетным процессом.</w:t>
      </w:r>
    </w:p>
    <w:p w:rsidR="000B0A7C" w:rsidRPr="00704767" w:rsidRDefault="000B0A7C" w:rsidP="000B0A7C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7497" w:rsidRDefault="000B0A7C" w:rsidP="000B0A7C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 w:rsidR="00557497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0B0A7C" w:rsidRPr="00704767" w:rsidRDefault="000B0A7C" w:rsidP="00557497">
      <w:pPr>
        <w:spacing w:after="12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970"/>
        <w:gridCol w:w="709"/>
        <w:gridCol w:w="992"/>
        <w:gridCol w:w="1134"/>
        <w:gridCol w:w="1134"/>
        <w:gridCol w:w="1134"/>
        <w:gridCol w:w="1134"/>
      </w:tblGrid>
      <w:tr w:rsidR="000B0A7C" w:rsidRPr="00704767" w:rsidTr="00557497">
        <w:trPr>
          <w:cantSplit/>
          <w:trHeight w:val="203"/>
          <w:tblHeader/>
        </w:trPr>
        <w:tc>
          <w:tcPr>
            <w:tcW w:w="3970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0B0A7C" w:rsidRPr="00704767" w:rsidRDefault="000B0A7C" w:rsidP="00653130">
            <w:pPr>
              <w:pStyle w:val="ConsPlusNormal"/>
              <w:ind w:left="176" w:hanging="176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0B0A7C" w:rsidRPr="00704767" w:rsidTr="00557497">
        <w:trPr>
          <w:cantSplit/>
          <w:trHeight w:val="203"/>
          <w:tblHeader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объема расходов на обслуживание муниципального долга к годовому объему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Поддержание объема просроченных обязательств по муниципальному долгу к общему объему муниципального долга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объема муниципального долга к общему годовому объему доходов бюджета города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доли среднесрочных и долгосрочных обязательств в объеме муниципального долга на конец года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единиц оборудования с расширенной технической поддержкой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сопровождаемых автоматизированных систем, подсистем и лицензий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системного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ПО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пользователей сети Интернет и обновляемых правовых баз среди работников комитета и муниципальных учреждений, имеющих доступ к ресурсам автоматизированных систем финансового органа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арендуемых каналов связи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приобретенных автоматизированных систем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модернизированных сред и систем с подсистемами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приобретенного оборудования, ключевых носителей, криптографических средств и лицензий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специалистов, прошедших обучение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компьютеров, защищенных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антивирусным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ПО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</w:tr>
    </w:tbl>
    <w:p w:rsidR="000B0A7C" w:rsidRPr="00704767" w:rsidRDefault="000B0A7C" w:rsidP="000B0A7C">
      <w:pPr>
        <w:spacing w:after="0" w:line="240" w:lineRule="auto"/>
      </w:pPr>
    </w:p>
    <w:p w:rsidR="00E6054D" w:rsidRPr="00557497" w:rsidRDefault="00E6054D" w:rsidP="00E6054D">
      <w:pPr>
        <w:pStyle w:val="1"/>
        <w:spacing w:before="240" w:after="240"/>
        <w:jc w:val="center"/>
        <w:rPr>
          <w:b/>
        </w:rPr>
      </w:pPr>
      <w:r w:rsidRPr="00557497">
        <w:rPr>
          <w:b/>
        </w:rPr>
        <w:lastRenderedPageBreak/>
        <w:t>Обслуживание муниципального долга</w:t>
      </w:r>
    </w:p>
    <w:p w:rsidR="00E6054D" w:rsidRPr="00557497" w:rsidRDefault="00E6054D" w:rsidP="00E6054D">
      <w:pPr>
        <w:tabs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557497">
        <w:rPr>
          <w:rFonts w:ascii="Times New Roman" w:hAnsi="Times New Roman"/>
          <w:sz w:val="28"/>
          <w:szCs w:val="28"/>
        </w:rPr>
        <w:t>В рамках муниципальной программы «Управление муниципальными финансами муниципального образ</w:t>
      </w:r>
      <w:r w:rsidR="00557497">
        <w:rPr>
          <w:rFonts w:ascii="Times New Roman" w:hAnsi="Times New Roman"/>
          <w:sz w:val="28"/>
          <w:szCs w:val="28"/>
        </w:rPr>
        <w:t xml:space="preserve">ования «Город Саратов» на </w:t>
      </w:r>
      <w:r w:rsidR="00557497">
        <w:rPr>
          <w:rFonts w:ascii="Times New Roman" w:hAnsi="Times New Roman"/>
          <w:sz w:val="28"/>
          <w:szCs w:val="28"/>
        </w:rPr>
        <w:br/>
        <w:t>2018-</w:t>
      </w:r>
      <w:r w:rsidRPr="00557497">
        <w:rPr>
          <w:rFonts w:ascii="Times New Roman" w:hAnsi="Times New Roman"/>
          <w:sz w:val="28"/>
          <w:szCs w:val="28"/>
        </w:rPr>
        <w:t xml:space="preserve">2020 годы» предусмотрены расходы по обслуживанию муниципального долга в объеме 600 000,0 тыс. руб. на 2020-2022 годы ежегодно, что в среднем составляет 7,0% (в 2020–2021 году – 7,1% ежегодно, 2022 году – 6,8%) от расходов бюджета без учета субвенций, при предусмотренном Бюджетным кодексом РФ </w:t>
      </w:r>
      <w:r w:rsidRPr="00557497">
        <w:rPr>
          <w:rFonts w:ascii="Times New Roman" w:hAnsi="Times New Roman"/>
          <w:sz w:val="28"/>
        </w:rPr>
        <w:t>предельном размере в 2020 году - 15</w:t>
      </w:r>
      <w:proofErr w:type="gramEnd"/>
      <w:r w:rsidRPr="00557497">
        <w:rPr>
          <w:rFonts w:ascii="Times New Roman" w:hAnsi="Times New Roman"/>
          <w:sz w:val="28"/>
        </w:rPr>
        <w:t>% , а с 2021 года - 10%.</w:t>
      </w:r>
      <w:r w:rsidRPr="00557497">
        <w:rPr>
          <w:rFonts w:ascii="Times New Roman" w:hAnsi="Times New Roman"/>
          <w:sz w:val="28"/>
          <w:szCs w:val="28"/>
        </w:rPr>
        <w:t xml:space="preserve"> </w:t>
      </w:r>
    </w:p>
    <w:p w:rsidR="00ED59E8" w:rsidRDefault="00ED59E8"/>
    <w:sectPr w:rsidR="00ED59E8" w:rsidSect="005574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0593"/>
    <w:multiLevelType w:val="hybridMultilevel"/>
    <w:tmpl w:val="F54036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0A7C"/>
    <w:rsid w:val="000B0A7C"/>
    <w:rsid w:val="001901F8"/>
    <w:rsid w:val="00441204"/>
    <w:rsid w:val="00557497"/>
    <w:rsid w:val="005867EB"/>
    <w:rsid w:val="007F34AC"/>
    <w:rsid w:val="008F693C"/>
    <w:rsid w:val="00D07385"/>
    <w:rsid w:val="00DA1179"/>
    <w:rsid w:val="00DD7CBC"/>
    <w:rsid w:val="00E6054D"/>
    <w:rsid w:val="00EA21B9"/>
    <w:rsid w:val="00ED59E8"/>
    <w:rsid w:val="00F1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E7"/>
  </w:style>
  <w:style w:type="paragraph" w:styleId="1">
    <w:name w:val="heading 1"/>
    <w:basedOn w:val="a"/>
    <w:next w:val="a"/>
    <w:link w:val="10"/>
    <w:uiPriority w:val="9"/>
    <w:qFormat/>
    <w:rsid w:val="00E6054D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0A7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0B0A7C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0B0A7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B0A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B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E6054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2019-11-14T05:59:00Z</dcterms:created>
  <dcterms:modified xsi:type="dcterms:W3CDTF">2019-11-15T11:04:00Z</dcterms:modified>
</cp:coreProperties>
</file>